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458" w:rsidRPr="00CA0458" w:rsidRDefault="00D272BA" w:rsidP="00CA0458">
      <w:pPr>
        <w:jc w:val="center"/>
        <w:rPr>
          <w:b/>
          <w:sz w:val="36"/>
          <w:szCs w:val="36"/>
        </w:rPr>
      </w:pPr>
      <w:r w:rsidRPr="00C449FD">
        <w:rPr>
          <w:b/>
          <w:sz w:val="36"/>
          <w:szCs w:val="36"/>
        </w:rPr>
        <w:t xml:space="preserve">Grades 6-12 </w:t>
      </w:r>
      <w:r w:rsidR="00CA0458" w:rsidRPr="00C449FD">
        <w:rPr>
          <w:b/>
          <w:sz w:val="36"/>
          <w:szCs w:val="36"/>
        </w:rPr>
        <w:t>ELA</w:t>
      </w:r>
      <w:r w:rsidRPr="00C449FD">
        <w:rPr>
          <w:b/>
          <w:sz w:val="36"/>
          <w:szCs w:val="36"/>
        </w:rPr>
        <w:t xml:space="preserve"> </w:t>
      </w:r>
      <w:r w:rsidR="00CA0458" w:rsidRPr="00C449FD">
        <w:rPr>
          <w:b/>
          <w:sz w:val="36"/>
          <w:szCs w:val="36"/>
        </w:rPr>
        <w:t>Lesson Plan</w:t>
      </w:r>
      <w:r w:rsidR="00CA0458" w:rsidRPr="00CA0458">
        <w:rPr>
          <w:b/>
          <w:sz w:val="36"/>
          <w:szCs w:val="36"/>
        </w:rPr>
        <w:t xml:space="preserve"> </w:t>
      </w: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5A3A74" w:rsidRDefault="00F748C2" w:rsidP="006B64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___</w:t>
      </w:r>
      <w:proofErr w:type="gramStart"/>
      <w:r w:rsidR="00A03293">
        <w:rPr>
          <w:rFonts w:ascii="Times New Roman" w:hAnsi="Times New Roman" w:cs="Times New Roman"/>
        </w:rPr>
        <w:t>Southeast  Middle</w:t>
      </w:r>
      <w:proofErr w:type="gramEnd"/>
      <w:r w:rsidR="00CA0458" w:rsidRPr="00333EBB">
        <w:rPr>
          <w:rFonts w:ascii="Times New Roman" w:hAnsi="Times New Roman" w:cs="Times New Roman"/>
          <w:u w:val="single"/>
        </w:rPr>
        <w:t>______</w:t>
      </w:r>
      <w:r w:rsidR="006B64D2" w:rsidRPr="005A3A74">
        <w:rPr>
          <w:rFonts w:ascii="Times New Roman" w:hAnsi="Times New Roman" w:cs="Times New Roman"/>
        </w:rPr>
        <w:t xml:space="preserve"> </w:t>
      </w:r>
      <w:r w:rsidR="00CA0458">
        <w:rPr>
          <w:rFonts w:ascii="Times New Roman" w:hAnsi="Times New Roman" w:cs="Times New Roman"/>
        </w:rPr>
        <w:t xml:space="preserve">   </w:t>
      </w:r>
      <w:r w:rsidR="00CA0458">
        <w:rPr>
          <w:rFonts w:ascii="Times New Roman" w:hAnsi="Times New Roman" w:cs="Times New Roman"/>
          <w:b/>
        </w:rPr>
        <w:t>Grade</w:t>
      </w:r>
      <w:r w:rsidR="008D6C4C">
        <w:rPr>
          <w:rFonts w:ascii="Times New Roman" w:hAnsi="Times New Roman" w:cs="Times New Roman"/>
          <w:b/>
        </w:rPr>
        <w:t>/Course</w:t>
      </w:r>
      <w:r w:rsidR="006B64D2" w:rsidRPr="005A3A74">
        <w:rPr>
          <w:rFonts w:ascii="Times New Roman" w:hAnsi="Times New Roman" w:cs="Times New Roman"/>
          <w:b/>
        </w:rPr>
        <w:t>:</w:t>
      </w:r>
      <w:r w:rsidR="00CA0458">
        <w:rPr>
          <w:rFonts w:ascii="Times New Roman" w:hAnsi="Times New Roman" w:cs="Times New Roman"/>
        </w:rPr>
        <w:t xml:space="preserve"> _</w:t>
      </w:r>
      <w:r w:rsidR="00333EBB" w:rsidRPr="000D0283">
        <w:rPr>
          <w:rFonts w:ascii="Times New Roman" w:hAnsi="Times New Roman" w:cs="Times New Roman"/>
          <w:u w:val="single"/>
        </w:rPr>
        <w:t>6th</w:t>
      </w:r>
      <w:r w:rsidR="00CA0458">
        <w:rPr>
          <w:rFonts w:ascii="Times New Roman" w:hAnsi="Times New Roman" w:cs="Times New Roman"/>
        </w:rPr>
        <w:t xml:space="preserve">_____     </w:t>
      </w:r>
      <w:r w:rsidR="00CA0458">
        <w:rPr>
          <w:rFonts w:ascii="Times New Roman" w:hAnsi="Times New Roman" w:cs="Times New Roman"/>
          <w:b/>
        </w:rPr>
        <w:t>Date</w:t>
      </w:r>
      <w:r w:rsidR="006B64D2" w:rsidRPr="005A3A74">
        <w:rPr>
          <w:rFonts w:ascii="Times New Roman" w:hAnsi="Times New Roman" w:cs="Times New Roman"/>
          <w:b/>
        </w:rPr>
        <w:t>:</w:t>
      </w:r>
      <w:r w:rsidR="00333EBB">
        <w:rPr>
          <w:rFonts w:ascii="Times New Roman" w:hAnsi="Times New Roman" w:cs="Times New Roman"/>
        </w:rPr>
        <w:t xml:space="preserve"> </w:t>
      </w:r>
      <w:r w:rsidR="006B64D2" w:rsidRPr="005A3A74">
        <w:rPr>
          <w:rFonts w:ascii="Times New Roman" w:hAnsi="Times New Roman" w:cs="Times New Roman"/>
        </w:rPr>
        <w:t>___</w:t>
      </w:r>
      <w:r w:rsidR="00333EBB" w:rsidRPr="00333EBB">
        <w:rPr>
          <w:rFonts w:ascii="Times New Roman" w:hAnsi="Times New Roman" w:cs="Times New Roman"/>
          <w:u w:val="single"/>
        </w:rPr>
        <w:t>7/20/12</w:t>
      </w:r>
      <w:r w:rsidR="006B64D2" w:rsidRPr="00333EBB">
        <w:rPr>
          <w:rFonts w:ascii="Times New Roman" w:hAnsi="Times New Roman" w:cs="Times New Roman"/>
          <w:u w:val="single"/>
        </w:rPr>
        <w:t>___</w:t>
      </w:r>
      <w:r w:rsidR="008D6C4C" w:rsidRPr="00333EBB">
        <w:rPr>
          <w:rFonts w:ascii="Times New Roman" w:hAnsi="Times New Roman" w:cs="Times New Roman"/>
          <w:u w:val="single"/>
        </w:rPr>
        <w:t>______</w:t>
      </w:r>
    </w:p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83"/>
        <w:gridCol w:w="3016"/>
        <w:gridCol w:w="5499"/>
      </w:tblGrid>
      <w:tr w:rsidR="00CA0458" w:rsidRPr="008D73AC" w:rsidTr="00F71AC9">
        <w:tc>
          <w:tcPr>
            <w:tcW w:w="5499" w:type="dxa"/>
            <w:gridSpan w:val="2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 w:rsidR="00333EBB">
              <w:rPr>
                <w:rFonts w:ascii="Times New Roman" w:hAnsi="Times New Roman" w:cs="Times New Roman"/>
                <w:b/>
              </w:rPr>
              <w:t xml:space="preserve">Unit 1  </w:t>
            </w:r>
            <w:r w:rsidR="009C31B9">
              <w:rPr>
                <w:rFonts w:ascii="Times New Roman" w:hAnsi="Times New Roman" w:cs="Times New Roman"/>
                <w:b/>
              </w:rPr>
              <w:t>Perspectives &amp; Point of View</w:t>
            </w:r>
          </w:p>
        </w:tc>
        <w:tc>
          <w:tcPr>
            <w:tcW w:w="5499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 w:rsidR="009C31B9">
              <w:rPr>
                <w:rFonts w:ascii="Times New Roman" w:hAnsi="Times New Roman" w:cs="Times New Roman"/>
                <w:b/>
              </w:rPr>
              <w:t xml:space="preserve"> Task 3</w:t>
            </w:r>
          </w:p>
          <w:p w:rsidR="00CA0458" w:rsidRPr="00F71AC9" w:rsidRDefault="009C31B9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Corresponding Perspectives</w:t>
            </w:r>
          </w:p>
        </w:tc>
      </w:tr>
      <w:tr w:rsidR="00CA0458" w:rsidRPr="008D73AC" w:rsidTr="00587B30">
        <w:tc>
          <w:tcPr>
            <w:tcW w:w="2483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CA0458" w:rsidRDefault="007F120A" w:rsidP="00F71A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authors use different forms and genres to portray similar themes?</w:t>
            </w:r>
          </w:p>
          <w:p w:rsidR="007F120A" w:rsidRPr="007F120A" w:rsidRDefault="007F120A" w:rsidP="00F71A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do readers compare texts across different genres?</w:t>
            </w:r>
          </w:p>
        </w:tc>
      </w:tr>
      <w:tr w:rsidR="006B64D2" w:rsidRPr="008D73AC" w:rsidTr="00587B30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9C31B9" w:rsidRDefault="009C31B9" w:rsidP="009C31B9">
            <w:pPr>
              <w:pStyle w:val="Defaul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Compare -  </w:t>
            </w:r>
            <w:r w:rsidR="00316AEA">
              <w:rPr>
                <w:sz w:val="20"/>
                <w:szCs w:val="20"/>
              </w:rPr>
              <w:t xml:space="preserve">describe similarities between two or more subjects </w:t>
            </w:r>
          </w:p>
          <w:p w:rsidR="00FE6AA1" w:rsidRDefault="00316AEA" w:rsidP="009C31B9">
            <w:pPr>
              <w:pStyle w:val="Defaul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Contrast – describe differences between two or more subjects th</w:t>
            </w:r>
            <w:r w:rsidR="008578D9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t show, prove, or give reasons for making a judgment</w:t>
            </w:r>
          </w:p>
          <w:p w:rsidR="00316AEA" w:rsidRDefault="00316AEA" w:rsidP="009C31B9">
            <w:pPr>
              <w:pStyle w:val="Defaul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connotations – the feelings or emotions attached to the meaning of a word</w:t>
            </w:r>
          </w:p>
          <w:p w:rsidR="00316AEA" w:rsidRDefault="00316AEA" w:rsidP="009C31B9">
            <w:pPr>
              <w:pStyle w:val="Defaul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Tone – the feeling conveyed by a written or spoken work, the attitude the author takes toward the subject of a literary work</w:t>
            </w:r>
          </w:p>
          <w:p w:rsidR="00C04576" w:rsidRDefault="00C04576" w:rsidP="009C31B9">
            <w:pPr>
              <w:pStyle w:val="Defaul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Imagery – Language that appeals to the five senses</w:t>
            </w:r>
          </w:p>
          <w:p w:rsidR="007F120A" w:rsidRPr="009C31B9" w:rsidRDefault="007F120A" w:rsidP="007F120A">
            <w:pPr>
              <w:pStyle w:val="Default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Theme – a truth about life, the common thread about social situations in life repeated by authors in written work </w:t>
            </w:r>
          </w:p>
        </w:tc>
      </w:tr>
      <w:tr w:rsidR="006B64D2" w:rsidRPr="008D73AC" w:rsidTr="00587B30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Default="009C31B9" w:rsidP="00F71A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“I Look at the World” Langston Hughes</w:t>
            </w:r>
          </w:p>
          <w:p w:rsidR="00CC2E90" w:rsidRPr="009C31B9" w:rsidRDefault="007F120A" w:rsidP="00F71A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“I Was Not Alone” </w:t>
            </w:r>
            <w:r w:rsidR="008943D6">
              <w:rPr>
                <w:sz w:val="20"/>
                <w:szCs w:val="20"/>
              </w:rPr>
              <w:t xml:space="preserve">Rosa Parks </w:t>
            </w:r>
            <w:r w:rsidRPr="007F120A">
              <w:rPr>
                <w:i/>
                <w:sz w:val="20"/>
                <w:szCs w:val="20"/>
              </w:rPr>
              <w:t>Holt Elements of Literature Introductory Course</w:t>
            </w:r>
            <w:r>
              <w:rPr>
                <w:sz w:val="20"/>
                <w:szCs w:val="20"/>
              </w:rPr>
              <w:t xml:space="preserve"> p. 311</w:t>
            </w:r>
          </w:p>
        </w:tc>
      </w:tr>
      <w:tr w:rsidR="008D467F" w:rsidRPr="008D73AC" w:rsidTr="00BA0DF4"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8D467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Activating Strategy/ Bell Ringer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8D467F" w:rsidRDefault="00F62EAB" w:rsidP="00F71A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E6AA1">
              <w:rPr>
                <w:sz w:val="20"/>
                <w:szCs w:val="20"/>
              </w:rPr>
              <w:t xml:space="preserve">Pairs:  Students will answer the following questions </w:t>
            </w:r>
            <w:r w:rsidR="00AF28AD">
              <w:rPr>
                <w:sz w:val="20"/>
                <w:szCs w:val="20"/>
              </w:rPr>
              <w:t xml:space="preserve">in journals </w:t>
            </w:r>
            <w:r w:rsidR="00FE6AA1">
              <w:rPr>
                <w:sz w:val="20"/>
                <w:szCs w:val="20"/>
              </w:rPr>
              <w:t>and share with a partner:</w:t>
            </w:r>
          </w:p>
          <w:p w:rsidR="00FE6AA1" w:rsidRDefault="00A13517" w:rsidP="00FE6AA1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 the world be a fair and just place? </w:t>
            </w:r>
          </w:p>
          <w:p w:rsidR="00A13517" w:rsidRPr="00FE6AA1" w:rsidRDefault="00A13517" w:rsidP="00FE6AA1">
            <w:pPr>
              <w:pStyle w:val="Default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are some things you see that are not fair and just?</w:t>
            </w:r>
          </w:p>
        </w:tc>
      </w:tr>
      <w:tr w:rsidR="003D2565" w:rsidRPr="008D73AC" w:rsidTr="00BA0DF4">
        <w:trPr>
          <w:trHeight w:val="3330"/>
        </w:trPr>
        <w:tc>
          <w:tcPr>
            <w:tcW w:w="2483" w:type="dxa"/>
            <w:tcBorders>
              <w:bottom w:val="nil"/>
            </w:tcBorders>
            <w:shd w:val="clear" w:color="auto" w:fill="auto"/>
          </w:tcPr>
          <w:p w:rsidR="00CA0458" w:rsidRPr="00F71AC9" w:rsidRDefault="00CA045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Reading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Writing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Word Study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Speaking &amp; Listening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Modeled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Shared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Guided Practice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Independent</w:t>
            </w:r>
          </w:p>
          <w:p w:rsidR="00933E5F" w:rsidRPr="00F71AC9" w:rsidRDefault="00933E5F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ind w:left="720"/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E6AA1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lastRenderedPageBreak/>
              <w:t xml:space="preserve">Common Core State </w:t>
            </w:r>
            <w:r w:rsidR="00933E5F" w:rsidRPr="00C449FD">
              <w:rPr>
                <w:rFonts w:ascii="Times New Roman" w:hAnsi="Times New Roman" w:cs="Times New Roman"/>
                <w:b/>
              </w:rPr>
              <w:t>Standards:</w:t>
            </w:r>
            <w:r w:rsidR="009C31B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E6AA1" w:rsidRDefault="00FE6AA1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Power Standard</w:t>
            </w:r>
          </w:p>
          <w:p w:rsidR="008D467F" w:rsidRPr="00E20C61" w:rsidRDefault="009C31B9" w:rsidP="00F71AC9">
            <w:pPr>
              <w:pStyle w:val="Default"/>
              <w:rPr>
                <w:sz w:val="20"/>
                <w:szCs w:val="20"/>
              </w:rPr>
            </w:pPr>
            <w:r w:rsidRPr="00E20C61">
              <w:rPr>
                <w:b/>
              </w:rPr>
              <w:t xml:space="preserve"> </w:t>
            </w:r>
            <w:r w:rsidRPr="00E20C61">
              <w:rPr>
                <w:sz w:val="20"/>
                <w:szCs w:val="20"/>
              </w:rPr>
              <w:t>R.I.6.9 – Compare and contrast one author’s presentation of events with that of another (e.g. a memoir written by and a biography on the same person).</w:t>
            </w:r>
          </w:p>
          <w:p w:rsidR="00FE6AA1" w:rsidRPr="00E20C61" w:rsidRDefault="00FE6AA1" w:rsidP="00F71AC9">
            <w:pPr>
              <w:pStyle w:val="Default"/>
              <w:rPr>
                <w:sz w:val="20"/>
                <w:szCs w:val="20"/>
              </w:rPr>
            </w:pPr>
            <w:r w:rsidRPr="00E20C61">
              <w:rPr>
                <w:sz w:val="20"/>
                <w:szCs w:val="20"/>
              </w:rPr>
              <w:t>Supporting Standard</w:t>
            </w:r>
          </w:p>
          <w:p w:rsidR="009C31B9" w:rsidRPr="00E20C61" w:rsidRDefault="009C31B9" w:rsidP="00F71AC9">
            <w:pPr>
              <w:pStyle w:val="Default"/>
              <w:rPr>
                <w:sz w:val="20"/>
                <w:szCs w:val="20"/>
              </w:rPr>
            </w:pPr>
            <w:r w:rsidRPr="00E20C61">
              <w:rPr>
                <w:sz w:val="20"/>
                <w:szCs w:val="20"/>
              </w:rPr>
              <w:t>R.L.6.9-Compare and contrast texts in different forms or genres (e.g. stories and poems; historical novels and fantasy stories) in terms of their approaches to similar themes and topics.</w:t>
            </w:r>
          </w:p>
          <w:p w:rsidR="00B34B20" w:rsidRPr="00C449FD" w:rsidRDefault="00B34B2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D467F" w:rsidRPr="00E20C61" w:rsidRDefault="00D272BA" w:rsidP="00F71AC9">
            <w:pPr>
              <w:pStyle w:val="Default"/>
              <w:rPr>
                <w:b/>
                <w:sz w:val="20"/>
                <w:szCs w:val="20"/>
              </w:rPr>
            </w:pPr>
            <w:r w:rsidRPr="00E20C61">
              <w:rPr>
                <w:b/>
                <w:sz w:val="20"/>
                <w:szCs w:val="20"/>
              </w:rPr>
              <w:t>I Can Statements</w:t>
            </w:r>
            <w:r w:rsidR="008D467F" w:rsidRPr="00E20C61">
              <w:rPr>
                <w:b/>
                <w:sz w:val="20"/>
                <w:szCs w:val="20"/>
              </w:rPr>
              <w:t>:</w:t>
            </w:r>
          </w:p>
          <w:p w:rsidR="00B34B20" w:rsidRPr="00E20C61" w:rsidRDefault="00FE6AA1" w:rsidP="00F71AC9">
            <w:pPr>
              <w:pStyle w:val="Default"/>
              <w:rPr>
                <w:sz w:val="20"/>
                <w:szCs w:val="20"/>
              </w:rPr>
            </w:pPr>
            <w:r w:rsidRPr="00E20C61">
              <w:rPr>
                <w:sz w:val="20"/>
                <w:szCs w:val="20"/>
              </w:rPr>
              <w:t>I can compare and contrast a poem with a fictional account of a different time, place and setting</w:t>
            </w:r>
            <w:r w:rsidR="00A13517">
              <w:rPr>
                <w:sz w:val="20"/>
                <w:szCs w:val="20"/>
              </w:rPr>
              <w:t>.</w:t>
            </w:r>
          </w:p>
          <w:p w:rsidR="00FE6AA1" w:rsidRPr="00E20C61" w:rsidRDefault="00FE6AA1" w:rsidP="00F71AC9">
            <w:pPr>
              <w:pStyle w:val="Default"/>
              <w:rPr>
                <w:sz w:val="20"/>
                <w:szCs w:val="20"/>
              </w:rPr>
            </w:pPr>
            <w:r w:rsidRPr="00E20C61">
              <w:rPr>
                <w:sz w:val="20"/>
                <w:szCs w:val="20"/>
              </w:rPr>
              <w:t xml:space="preserve">I </w:t>
            </w:r>
            <w:r w:rsidR="00A13517">
              <w:rPr>
                <w:sz w:val="20"/>
                <w:szCs w:val="20"/>
              </w:rPr>
              <w:t>can understand how authors use l</w:t>
            </w:r>
            <w:r w:rsidRPr="00E20C61">
              <w:rPr>
                <w:sz w:val="20"/>
                <w:szCs w:val="20"/>
              </w:rPr>
              <w:t xml:space="preserve">anguage, style, </w:t>
            </w:r>
            <w:r w:rsidR="00A13517">
              <w:rPr>
                <w:sz w:val="20"/>
                <w:szCs w:val="20"/>
              </w:rPr>
              <w:t xml:space="preserve">and </w:t>
            </w:r>
            <w:r w:rsidRPr="00E20C61">
              <w:rPr>
                <w:sz w:val="20"/>
                <w:szCs w:val="20"/>
              </w:rPr>
              <w:t>tone to relate theme</w:t>
            </w:r>
            <w:r w:rsidR="00A13517">
              <w:rPr>
                <w:sz w:val="20"/>
                <w:szCs w:val="20"/>
              </w:rPr>
              <w:t>.</w:t>
            </w:r>
          </w:p>
          <w:p w:rsidR="00FE6AA1" w:rsidRPr="00FE6AA1" w:rsidRDefault="00FE6AA1" w:rsidP="00F71AC9">
            <w:pPr>
              <w:pStyle w:val="Default"/>
              <w:rPr>
                <w:rFonts w:ascii="Times New Roman" w:hAnsi="Times New Roman" w:cs="Times New Roman"/>
              </w:rPr>
            </w:pPr>
          </w:p>
          <w:p w:rsidR="00D272BA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943D6" w:rsidRDefault="008943D6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A13517" w:rsidRPr="00C449FD" w:rsidRDefault="00A13517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933E5F" w:rsidRPr="00E20C61" w:rsidRDefault="008D467F" w:rsidP="00F71AC9">
            <w:pPr>
              <w:pStyle w:val="Default"/>
              <w:rPr>
                <w:b/>
              </w:rPr>
            </w:pPr>
            <w:r w:rsidRPr="00E20C61">
              <w:rPr>
                <w:b/>
              </w:rPr>
              <w:lastRenderedPageBreak/>
              <w:t>Instructional Plan</w:t>
            </w:r>
            <w:r w:rsidR="00933E5F" w:rsidRPr="00E20C61">
              <w:rPr>
                <w:b/>
              </w:rPr>
              <w:t>:</w:t>
            </w:r>
          </w:p>
          <w:p w:rsidR="00017569" w:rsidRDefault="00017569" w:rsidP="00017569">
            <w:pPr>
              <w:pStyle w:val="Defaul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E20C61">
              <w:rPr>
                <w:sz w:val="20"/>
                <w:szCs w:val="20"/>
              </w:rPr>
              <w:t>S</w:t>
            </w:r>
            <w:r w:rsidR="008943D6">
              <w:rPr>
                <w:sz w:val="20"/>
                <w:szCs w:val="20"/>
              </w:rPr>
              <w:t>tudents s</w:t>
            </w:r>
            <w:r w:rsidRPr="00E20C61">
              <w:rPr>
                <w:sz w:val="20"/>
                <w:szCs w:val="20"/>
              </w:rPr>
              <w:t xml:space="preserve">hare responses from opening </w:t>
            </w:r>
            <w:r w:rsidR="008943D6">
              <w:rPr>
                <w:sz w:val="20"/>
                <w:szCs w:val="20"/>
              </w:rPr>
              <w:t xml:space="preserve">journal </w:t>
            </w:r>
            <w:r w:rsidRPr="00E20C61">
              <w:rPr>
                <w:sz w:val="20"/>
                <w:szCs w:val="20"/>
              </w:rPr>
              <w:t xml:space="preserve">with whole class. </w:t>
            </w:r>
          </w:p>
          <w:p w:rsidR="00A13517" w:rsidRPr="00E20C61" w:rsidRDefault="00A13517" w:rsidP="00017569">
            <w:pPr>
              <w:pStyle w:val="Defaul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Have students complete Vocabulary Cloze sheet/Matching and review </w:t>
            </w:r>
            <w:r w:rsidR="008943D6">
              <w:rPr>
                <w:sz w:val="20"/>
                <w:szCs w:val="20"/>
              </w:rPr>
              <w:t>answers with whole</w:t>
            </w:r>
            <w:r>
              <w:rPr>
                <w:sz w:val="20"/>
                <w:szCs w:val="20"/>
              </w:rPr>
              <w:t xml:space="preserve"> class</w:t>
            </w:r>
          </w:p>
          <w:p w:rsidR="00017569" w:rsidRPr="00E20C61" w:rsidRDefault="00810152" w:rsidP="00017569">
            <w:pPr>
              <w:pStyle w:val="Defaul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E20C61">
              <w:rPr>
                <w:sz w:val="20"/>
                <w:szCs w:val="20"/>
              </w:rPr>
              <w:t>Read “I Look at the World” by Langston Hughes</w:t>
            </w:r>
            <w:r w:rsidR="008943D6">
              <w:rPr>
                <w:sz w:val="20"/>
                <w:szCs w:val="20"/>
              </w:rPr>
              <w:t xml:space="preserve"> on overhead/power point</w:t>
            </w:r>
          </w:p>
          <w:p w:rsidR="00AF28AD" w:rsidRDefault="00AF28AD" w:rsidP="00017569">
            <w:pPr>
              <w:pStyle w:val="Default"/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E20C61">
              <w:rPr>
                <w:sz w:val="20"/>
                <w:szCs w:val="20"/>
              </w:rPr>
              <w:t>Students use Double-Entry Diary to take notes from poem with Teacher Assistance</w:t>
            </w:r>
            <w:r w:rsidR="008943D6">
              <w:rPr>
                <w:sz w:val="20"/>
                <w:szCs w:val="20"/>
              </w:rPr>
              <w:t xml:space="preserve"> (may use colored paper)</w:t>
            </w:r>
          </w:p>
          <w:p w:rsidR="008943D6" w:rsidRDefault="003D51E4" w:rsidP="009C31B9">
            <w:pPr>
              <w:pStyle w:val="Default"/>
              <w:rPr>
                <w:b/>
                <w:sz w:val="20"/>
                <w:szCs w:val="20"/>
              </w:rPr>
            </w:pPr>
            <w:r w:rsidRPr="00E20C61">
              <w:rPr>
                <w:b/>
                <w:sz w:val="20"/>
                <w:szCs w:val="20"/>
              </w:rPr>
              <w:t xml:space="preserve">Double-Entry Diary:  </w:t>
            </w:r>
            <w:r w:rsidRPr="00E20C61">
              <w:rPr>
                <w:sz w:val="20"/>
                <w:szCs w:val="20"/>
              </w:rPr>
              <w:t>2-column note-taking (hot dog fold</w:t>
            </w:r>
            <w:r w:rsidR="008943D6">
              <w:rPr>
                <w:sz w:val="20"/>
                <w:szCs w:val="20"/>
              </w:rPr>
              <w:t xml:space="preserve">), </w:t>
            </w:r>
            <w:r w:rsidRPr="008943D6">
              <w:rPr>
                <w:b/>
                <w:sz w:val="20"/>
                <w:szCs w:val="20"/>
              </w:rPr>
              <w:t xml:space="preserve"> </w:t>
            </w:r>
          </w:p>
          <w:p w:rsidR="008943D6" w:rsidRDefault="003D51E4" w:rsidP="009C31B9">
            <w:pPr>
              <w:pStyle w:val="Default"/>
              <w:rPr>
                <w:sz w:val="20"/>
                <w:szCs w:val="20"/>
              </w:rPr>
            </w:pPr>
            <w:r w:rsidRPr="008943D6">
              <w:rPr>
                <w:b/>
                <w:sz w:val="20"/>
                <w:szCs w:val="20"/>
              </w:rPr>
              <w:t xml:space="preserve">left </w:t>
            </w:r>
            <w:r w:rsidR="008943D6">
              <w:rPr>
                <w:b/>
                <w:sz w:val="20"/>
                <w:szCs w:val="20"/>
              </w:rPr>
              <w:t>column</w:t>
            </w:r>
            <w:r w:rsidRPr="00E20C61">
              <w:rPr>
                <w:sz w:val="20"/>
                <w:szCs w:val="20"/>
              </w:rPr>
              <w:t xml:space="preserve"> for specific information from text – quote, summary, short passage,</w:t>
            </w:r>
          </w:p>
          <w:p w:rsidR="00933E5F" w:rsidRPr="00E20C61" w:rsidRDefault="003D51E4" w:rsidP="009C31B9">
            <w:pPr>
              <w:pStyle w:val="Default"/>
              <w:rPr>
                <w:sz w:val="20"/>
                <w:szCs w:val="20"/>
              </w:rPr>
            </w:pPr>
            <w:r w:rsidRPr="008943D6">
              <w:rPr>
                <w:b/>
                <w:sz w:val="20"/>
                <w:szCs w:val="20"/>
              </w:rPr>
              <w:t>right column</w:t>
            </w:r>
            <w:r w:rsidRPr="00E20C61">
              <w:rPr>
                <w:sz w:val="20"/>
                <w:szCs w:val="20"/>
              </w:rPr>
              <w:t xml:space="preserve"> for personal reactions and connections to what was written in the left column</w:t>
            </w:r>
          </w:p>
          <w:p w:rsidR="00933E5F" w:rsidRPr="003D51E4" w:rsidRDefault="00933E5F" w:rsidP="00F71AC9">
            <w:pPr>
              <w:pStyle w:val="Default"/>
              <w:rPr>
                <w:sz w:val="20"/>
                <w:szCs w:val="20"/>
              </w:rPr>
            </w:pPr>
          </w:p>
          <w:p w:rsidR="008D467F" w:rsidRDefault="00AF28AD" w:rsidP="00AF28AD">
            <w:pPr>
              <w:pStyle w:val="Default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pairs, students read Rosa Parks’ “I Was Not Alone” </w:t>
            </w:r>
            <w:r w:rsidR="008943D6">
              <w:rPr>
                <w:sz w:val="20"/>
                <w:szCs w:val="20"/>
              </w:rPr>
              <w:t>and complete Double-Entry Diary for text.</w:t>
            </w:r>
            <w:r>
              <w:rPr>
                <w:sz w:val="20"/>
                <w:szCs w:val="20"/>
              </w:rPr>
              <w:t xml:space="preserve">  Students share responses.  </w:t>
            </w:r>
          </w:p>
          <w:p w:rsidR="008943D6" w:rsidRDefault="008943D6" w:rsidP="008943D6">
            <w:pPr>
              <w:pStyle w:val="Default"/>
              <w:ind w:left="720"/>
              <w:rPr>
                <w:sz w:val="20"/>
                <w:szCs w:val="20"/>
              </w:rPr>
            </w:pPr>
          </w:p>
          <w:p w:rsidR="00E20C61" w:rsidRDefault="00E20C61" w:rsidP="00AF28AD">
            <w:pPr>
              <w:pStyle w:val="Default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Students use Venn </w:t>
            </w:r>
            <w:proofErr w:type="gramStart"/>
            <w:r>
              <w:rPr>
                <w:sz w:val="20"/>
                <w:szCs w:val="20"/>
              </w:rPr>
              <w:t>Diagram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="008943D6">
              <w:rPr>
                <w:sz w:val="20"/>
                <w:szCs w:val="20"/>
              </w:rPr>
              <w:t xml:space="preserve">with Teacher Assistance </w:t>
            </w:r>
            <w:r>
              <w:rPr>
                <w:sz w:val="20"/>
                <w:szCs w:val="20"/>
              </w:rPr>
              <w:t xml:space="preserve">to represent similarities and differences between the </w:t>
            </w:r>
            <w:r w:rsidR="008943D6">
              <w:rPr>
                <w:sz w:val="20"/>
                <w:szCs w:val="20"/>
              </w:rPr>
              <w:t xml:space="preserve">two </w:t>
            </w:r>
            <w:r>
              <w:rPr>
                <w:sz w:val="20"/>
                <w:szCs w:val="20"/>
              </w:rPr>
              <w:t>texts.</w:t>
            </w:r>
          </w:p>
          <w:p w:rsidR="008D467F" w:rsidRPr="00F71AC9" w:rsidRDefault="008D467F" w:rsidP="00F71AC9">
            <w:pPr>
              <w:pStyle w:val="Default"/>
            </w:pPr>
          </w:p>
          <w:p w:rsidR="008D467F" w:rsidRPr="00F71AC9" w:rsidRDefault="008D467F" w:rsidP="00F71AC9">
            <w:pPr>
              <w:pStyle w:val="Default"/>
            </w:pPr>
          </w:p>
          <w:p w:rsidR="008D467F" w:rsidRPr="00F71AC9" w:rsidRDefault="008D467F" w:rsidP="00F71AC9">
            <w:pPr>
              <w:pStyle w:val="Default"/>
            </w:pPr>
          </w:p>
          <w:p w:rsidR="00E256E8" w:rsidRPr="00F71AC9" w:rsidRDefault="00E256E8" w:rsidP="00F71AC9">
            <w:pPr>
              <w:pStyle w:val="Default"/>
            </w:pPr>
          </w:p>
          <w:p w:rsidR="00E256E8" w:rsidRPr="00F71AC9" w:rsidRDefault="00E256E8" w:rsidP="00F71AC9">
            <w:pPr>
              <w:pStyle w:val="Default"/>
            </w:pPr>
          </w:p>
          <w:p w:rsidR="00E256E8" w:rsidRPr="00F71AC9" w:rsidRDefault="00E256E8" w:rsidP="00F71AC9">
            <w:pPr>
              <w:pStyle w:val="Default"/>
            </w:pPr>
          </w:p>
          <w:p w:rsidR="00E256E8" w:rsidRPr="00F71AC9" w:rsidRDefault="00E256E8" w:rsidP="00F71AC9">
            <w:pPr>
              <w:pStyle w:val="Default"/>
            </w:pPr>
          </w:p>
          <w:p w:rsidR="00E256E8" w:rsidRPr="00F71AC9" w:rsidRDefault="00E256E8" w:rsidP="00F71AC9">
            <w:pPr>
              <w:pStyle w:val="Default"/>
            </w:pPr>
          </w:p>
          <w:p w:rsidR="00E256E8" w:rsidRPr="00F71AC9" w:rsidRDefault="00E256E8" w:rsidP="00F71AC9">
            <w:pPr>
              <w:pStyle w:val="Default"/>
            </w:pPr>
          </w:p>
          <w:p w:rsidR="00E256E8" w:rsidRPr="00F71AC9" w:rsidRDefault="00E256E8" w:rsidP="00F71AC9">
            <w:pPr>
              <w:pStyle w:val="Default"/>
            </w:pPr>
          </w:p>
          <w:p w:rsidR="008D467F" w:rsidRPr="00F71AC9" w:rsidRDefault="008D467F" w:rsidP="00F71AC9">
            <w:pPr>
              <w:pStyle w:val="Default"/>
            </w:pPr>
          </w:p>
          <w:p w:rsidR="00933E5F" w:rsidRDefault="00933E5F" w:rsidP="00F71AC9">
            <w:pPr>
              <w:pStyle w:val="Default"/>
            </w:pPr>
          </w:p>
          <w:p w:rsidR="00B34B20" w:rsidRPr="00F71AC9" w:rsidRDefault="00B34B20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jc w:val="center"/>
            </w:pPr>
          </w:p>
        </w:tc>
      </w:tr>
      <w:tr w:rsidR="006B64D2" w:rsidRPr="008D73AC" w:rsidTr="00BA0DF4">
        <w:tc>
          <w:tcPr>
            <w:tcW w:w="2483" w:type="dxa"/>
            <w:tcBorders>
              <w:top w:val="nil"/>
            </w:tcBorders>
            <w:shd w:val="clear" w:color="auto" w:fill="auto"/>
          </w:tcPr>
          <w:p w:rsidR="006B64D2" w:rsidRPr="00F71AC9" w:rsidRDefault="0021389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Closing/</w:t>
            </w:r>
            <w:r w:rsidR="006B64D2" w:rsidRPr="00F71AC9">
              <w:rPr>
                <w:rFonts w:ascii="Times New Roman" w:hAnsi="Times New Roman" w:cs="Times New Roman"/>
                <w:b/>
              </w:rPr>
              <w:t>Summarizing Strategy</w:t>
            </w:r>
          </w:p>
          <w:p w:rsidR="006B64D2" w:rsidRPr="00F71AC9" w:rsidRDefault="006B64D2" w:rsidP="00F71AC9">
            <w:pPr>
              <w:pStyle w:val="Default"/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A04356" w:rsidRDefault="00587B30" w:rsidP="00F71A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TOTD:  Write on sticky note one thing you have learned </w:t>
            </w:r>
            <w:r w:rsidR="008943D6">
              <w:rPr>
                <w:sz w:val="20"/>
                <w:szCs w:val="20"/>
              </w:rPr>
              <w:t xml:space="preserve">from either text </w:t>
            </w:r>
            <w:r>
              <w:rPr>
                <w:sz w:val="20"/>
                <w:szCs w:val="20"/>
              </w:rPr>
              <w:t>today.</w:t>
            </w:r>
          </w:p>
          <w:p w:rsidR="006B64D2" w:rsidRPr="00F71AC9" w:rsidRDefault="006B64D2" w:rsidP="00F71AC9">
            <w:pPr>
              <w:pStyle w:val="Default"/>
            </w:pPr>
          </w:p>
          <w:p w:rsidR="006B64D2" w:rsidRPr="00F71AC9" w:rsidRDefault="006B64D2" w:rsidP="00F71AC9">
            <w:pPr>
              <w:pStyle w:val="Default"/>
            </w:pPr>
          </w:p>
        </w:tc>
      </w:tr>
    </w:tbl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Default="003D51E4" w:rsidP="003D51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can research Harlem Renaissance and present information to class</w:t>
            </w:r>
          </w:p>
          <w:p w:rsidR="003D51E4" w:rsidRDefault="003D51E4" w:rsidP="003D51E4">
            <w:pPr>
              <w:pStyle w:val="Default"/>
              <w:rPr>
                <w:sz w:val="20"/>
                <w:szCs w:val="20"/>
              </w:rPr>
            </w:pPr>
          </w:p>
          <w:p w:rsidR="003D51E4" w:rsidRDefault="003D51E4" w:rsidP="003D51E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can create visual of L. Hughes’ poem</w:t>
            </w:r>
          </w:p>
          <w:p w:rsidR="003D51E4" w:rsidRDefault="003D51E4" w:rsidP="003D51E4">
            <w:pPr>
              <w:pStyle w:val="Default"/>
              <w:rPr>
                <w:sz w:val="20"/>
                <w:szCs w:val="20"/>
              </w:rPr>
            </w:pPr>
          </w:p>
          <w:p w:rsidR="00A13517" w:rsidRDefault="00A13517" w:rsidP="00333EBB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Students will take on role as guest lecturers at a university, to </w:t>
            </w:r>
            <w:r w:rsidR="00333EBB">
              <w:rPr>
                <w:sz w:val="20"/>
                <w:szCs w:val="20"/>
              </w:rPr>
              <w:t>present multimedia</w:t>
            </w:r>
            <w:r>
              <w:rPr>
                <w:sz w:val="20"/>
                <w:szCs w:val="20"/>
              </w:rPr>
              <w:t xml:space="preserve"> presentation that represents the voices of the civil rights movement.</w:t>
            </w:r>
          </w:p>
          <w:p w:rsidR="00A13517" w:rsidRPr="00AF28AD" w:rsidRDefault="00A13517" w:rsidP="00A13517">
            <w:pPr>
              <w:pStyle w:val="Default"/>
              <w:rPr>
                <w:sz w:val="20"/>
                <w:szCs w:val="20"/>
              </w:rPr>
            </w:pPr>
          </w:p>
          <w:p w:rsidR="00A13517" w:rsidRPr="00F71AC9" w:rsidRDefault="00A13517" w:rsidP="00A13517">
            <w:pPr>
              <w:pStyle w:val="Default"/>
            </w:pPr>
          </w:p>
          <w:p w:rsidR="003D51E4" w:rsidRPr="003D51E4" w:rsidRDefault="003D51E4" w:rsidP="00A13517">
            <w:pPr>
              <w:pStyle w:val="Default"/>
              <w:ind w:left="720"/>
              <w:rPr>
                <w:sz w:val="20"/>
                <w:szCs w:val="20"/>
              </w:rPr>
            </w:pPr>
          </w:p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Default="003D51E4" w:rsidP="00F71A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Provide audio of text and have students read along during guided reading</w:t>
            </w:r>
          </w:p>
          <w:p w:rsidR="003D51E4" w:rsidRDefault="003D51E4" w:rsidP="00F71AC9">
            <w:pPr>
              <w:pStyle w:val="Default"/>
              <w:rPr>
                <w:sz w:val="20"/>
                <w:szCs w:val="20"/>
              </w:rPr>
            </w:pPr>
          </w:p>
          <w:p w:rsidR="003D51E4" w:rsidRDefault="003D51E4" w:rsidP="00F71A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Pre-teach vocabulary using game, cloze procedure</w:t>
            </w:r>
          </w:p>
          <w:p w:rsidR="00F62EAB" w:rsidRDefault="00F62EAB" w:rsidP="00F71AC9">
            <w:pPr>
              <w:pStyle w:val="Default"/>
              <w:rPr>
                <w:sz w:val="20"/>
                <w:szCs w:val="20"/>
              </w:rPr>
            </w:pPr>
          </w:p>
          <w:p w:rsidR="00F62EAB" w:rsidRDefault="00F62EAB" w:rsidP="00F71A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Vocabulary Matrix:</w:t>
            </w:r>
            <w:r w:rsidR="008943D6">
              <w:rPr>
                <w:sz w:val="20"/>
                <w:szCs w:val="20"/>
              </w:rPr>
              <w:t xml:space="preserve"> SAT Prep Vocabulary Strategy</w:t>
            </w:r>
          </w:p>
          <w:p w:rsidR="00F62EAB" w:rsidRDefault="00F62EAB" w:rsidP="00F71A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Recode</w:t>
            </w:r>
          </w:p>
          <w:p w:rsidR="00F62EAB" w:rsidRDefault="00F62EAB" w:rsidP="00F71A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Relate</w:t>
            </w:r>
          </w:p>
          <w:p w:rsidR="00F62EAB" w:rsidRDefault="00F62EAB" w:rsidP="00F71A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Reuse</w:t>
            </w:r>
          </w:p>
          <w:p w:rsidR="00F62EAB" w:rsidRDefault="005E28FB" w:rsidP="00F71A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use vocabulary word, recode with a simila</w:t>
            </w:r>
            <w:bookmarkStart w:id="0" w:name="_GoBack"/>
            <w:bookmarkEnd w:id="0"/>
            <w:r>
              <w:rPr>
                <w:sz w:val="20"/>
                <w:szCs w:val="20"/>
              </w:rPr>
              <w:t>r word they can remember (homophone), draw the word, then use the word</w:t>
            </w:r>
          </w:p>
          <w:p w:rsidR="00F62EAB" w:rsidRPr="003D51E4" w:rsidRDefault="00F62EAB" w:rsidP="00F71AC9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700" w:type="dxa"/>
            <w:shd w:val="clear" w:color="auto" w:fill="auto"/>
          </w:tcPr>
          <w:p w:rsidR="005A3A74" w:rsidRPr="00B47BB9" w:rsidRDefault="001F101B" w:rsidP="00F71AC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While students work in pairs, Teacher will make sure to pair ESL student with English speaking student and also closely monitor understanding of text. Use </w:t>
            </w:r>
            <w:r w:rsidR="008943D6">
              <w:rPr>
                <w:sz w:val="20"/>
                <w:szCs w:val="20"/>
              </w:rPr>
              <w:t xml:space="preserve">separate cloze assessment </w:t>
            </w:r>
            <w:r>
              <w:rPr>
                <w:sz w:val="20"/>
                <w:szCs w:val="20"/>
              </w:rPr>
              <w:t>to check for understanding.</w:t>
            </w:r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333EBB" w:rsidRDefault="00A13517" w:rsidP="00F71AC9">
            <w:pPr>
              <w:pStyle w:val="Default"/>
              <w:rPr>
                <w:sz w:val="20"/>
                <w:szCs w:val="20"/>
              </w:rPr>
            </w:pPr>
            <w:r w:rsidRPr="00333EBB">
              <w:rPr>
                <w:sz w:val="20"/>
                <w:szCs w:val="20"/>
              </w:rPr>
              <w:t>Vocabulary Cloze Sheets, Double Entry Diary</w:t>
            </w: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3F1CAE"/>
    <w:sectPr w:rsidR="003F1CAE" w:rsidSect="00933E5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B00" w:rsidRDefault="00B10B00" w:rsidP="00D6695F">
      <w:r>
        <w:separator/>
      </w:r>
    </w:p>
  </w:endnote>
  <w:endnote w:type="continuationSeparator" w:id="0">
    <w:p w:rsidR="00B10B00" w:rsidRDefault="00B10B00" w:rsidP="00D66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FD3" w:rsidRDefault="00176FD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2BA" w:rsidRDefault="002D46DE" w:rsidP="00D272BA">
    <w:pPr>
      <w:pStyle w:val="Footer"/>
      <w:jc w:val="center"/>
    </w:pPr>
    <w:r>
      <w:rPr>
        <w:noProof/>
      </w:rPr>
      <w:drawing>
        <wp:inline distT="0" distB="0" distL="0" distR="0">
          <wp:extent cx="767715" cy="259080"/>
          <wp:effectExtent l="0" t="0" r="0" b="7620"/>
          <wp:docPr id="1" name="Picture 1" descr="Description: 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small_Logo-with-Tag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7715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72BA" w:rsidRPr="00176FD3">
      <w:tab/>
      <w:t>Office of Curriculum &amp; Instruction</w:t>
    </w:r>
    <w:r w:rsidR="00D272BA" w:rsidRPr="00176FD3">
      <w:tab/>
      <w:t>2012</w:t>
    </w:r>
  </w:p>
  <w:p w:rsidR="00D272BA" w:rsidRDefault="00D272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FD3" w:rsidRDefault="00176F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B00" w:rsidRDefault="00B10B00" w:rsidP="00D6695F">
      <w:r>
        <w:separator/>
      </w:r>
    </w:p>
  </w:footnote>
  <w:footnote w:type="continuationSeparator" w:id="0">
    <w:p w:rsidR="00B10B00" w:rsidRDefault="00B10B00" w:rsidP="00D66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FD3" w:rsidRDefault="00176F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FD3" w:rsidRDefault="00176FD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FD3" w:rsidRDefault="00176F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B370B"/>
    <w:multiLevelType w:val="hybridMultilevel"/>
    <w:tmpl w:val="A94066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E6772"/>
    <w:multiLevelType w:val="hybridMultilevel"/>
    <w:tmpl w:val="ABA8D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4713A"/>
    <w:multiLevelType w:val="hybridMultilevel"/>
    <w:tmpl w:val="FBA6A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4B6795"/>
    <w:multiLevelType w:val="hybridMultilevel"/>
    <w:tmpl w:val="1304E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E75FB6"/>
    <w:multiLevelType w:val="hybridMultilevel"/>
    <w:tmpl w:val="282C6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970926"/>
    <w:multiLevelType w:val="hybridMultilevel"/>
    <w:tmpl w:val="207A6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6E2A5F"/>
    <w:multiLevelType w:val="hybridMultilevel"/>
    <w:tmpl w:val="8844F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61784F"/>
    <w:multiLevelType w:val="hybridMultilevel"/>
    <w:tmpl w:val="A7C26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4"/>
  </w:num>
  <w:num w:numId="5">
    <w:abstractNumId w:val="9"/>
  </w:num>
  <w:num w:numId="6">
    <w:abstractNumId w:val="0"/>
  </w:num>
  <w:num w:numId="7">
    <w:abstractNumId w:val="2"/>
  </w:num>
  <w:num w:numId="8">
    <w:abstractNumId w:val="5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4D2"/>
    <w:rsid w:val="00017569"/>
    <w:rsid w:val="00097914"/>
    <w:rsid w:val="000D0283"/>
    <w:rsid w:val="000D5ECA"/>
    <w:rsid w:val="00140741"/>
    <w:rsid w:val="00154A41"/>
    <w:rsid w:val="00176FD3"/>
    <w:rsid w:val="0019598B"/>
    <w:rsid w:val="001A04B4"/>
    <w:rsid w:val="001C0516"/>
    <w:rsid w:val="001F101B"/>
    <w:rsid w:val="0021389C"/>
    <w:rsid w:val="0022540C"/>
    <w:rsid w:val="00226272"/>
    <w:rsid w:val="0029177C"/>
    <w:rsid w:val="002D46DE"/>
    <w:rsid w:val="00316AEA"/>
    <w:rsid w:val="00325975"/>
    <w:rsid w:val="00333EBB"/>
    <w:rsid w:val="003475F3"/>
    <w:rsid w:val="003D2565"/>
    <w:rsid w:val="003D51E4"/>
    <w:rsid w:val="003F1CAE"/>
    <w:rsid w:val="00481124"/>
    <w:rsid w:val="004A3842"/>
    <w:rsid w:val="00547A96"/>
    <w:rsid w:val="00587B30"/>
    <w:rsid w:val="00591DBA"/>
    <w:rsid w:val="005A3A74"/>
    <w:rsid w:val="005C02DC"/>
    <w:rsid w:val="005E28FB"/>
    <w:rsid w:val="00612204"/>
    <w:rsid w:val="00673678"/>
    <w:rsid w:val="006819FC"/>
    <w:rsid w:val="006B64D2"/>
    <w:rsid w:val="006E5372"/>
    <w:rsid w:val="00793ABA"/>
    <w:rsid w:val="007F120A"/>
    <w:rsid w:val="00810152"/>
    <w:rsid w:val="008578D9"/>
    <w:rsid w:val="00887A16"/>
    <w:rsid w:val="008943D6"/>
    <w:rsid w:val="008D467F"/>
    <w:rsid w:val="008D6C4C"/>
    <w:rsid w:val="00933E5F"/>
    <w:rsid w:val="00951814"/>
    <w:rsid w:val="009C31B9"/>
    <w:rsid w:val="009D78C5"/>
    <w:rsid w:val="00A03293"/>
    <w:rsid w:val="00A04356"/>
    <w:rsid w:val="00A13517"/>
    <w:rsid w:val="00A20784"/>
    <w:rsid w:val="00A83EC0"/>
    <w:rsid w:val="00AF28AD"/>
    <w:rsid w:val="00B004E3"/>
    <w:rsid w:val="00B10B00"/>
    <w:rsid w:val="00B34B20"/>
    <w:rsid w:val="00B47BB9"/>
    <w:rsid w:val="00B65763"/>
    <w:rsid w:val="00BA0DF4"/>
    <w:rsid w:val="00BC0AB9"/>
    <w:rsid w:val="00BD033C"/>
    <w:rsid w:val="00BD2071"/>
    <w:rsid w:val="00C04576"/>
    <w:rsid w:val="00C449FD"/>
    <w:rsid w:val="00CA0458"/>
    <w:rsid w:val="00CC2E90"/>
    <w:rsid w:val="00CC3D68"/>
    <w:rsid w:val="00CE509E"/>
    <w:rsid w:val="00D01C9F"/>
    <w:rsid w:val="00D16BFA"/>
    <w:rsid w:val="00D272BA"/>
    <w:rsid w:val="00D6695F"/>
    <w:rsid w:val="00DA68F7"/>
    <w:rsid w:val="00DC775C"/>
    <w:rsid w:val="00E20C61"/>
    <w:rsid w:val="00E256E8"/>
    <w:rsid w:val="00E767D4"/>
    <w:rsid w:val="00EF2BFA"/>
    <w:rsid w:val="00F1345F"/>
    <w:rsid w:val="00F24A48"/>
    <w:rsid w:val="00F62EAB"/>
    <w:rsid w:val="00F71AC9"/>
    <w:rsid w:val="00F748C2"/>
    <w:rsid w:val="00F815FD"/>
    <w:rsid w:val="00F8396C"/>
    <w:rsid w:val="00FD24B0"/>
    <w:rsid w:val="00FE02E9"/>
    <w:rsid w:val="00FE591B"/>
    <w:rsid w:val="00FE6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2ABAD-3D09-4B10-A97E-B87B0EE7D0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727322-78C6-4429-8782-BF35FFAED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gibbss</dc:creator>
  <cp:lastModifiedBy>erinkristal</cp:lastModifiedBy>
  <cp:revision>2</cp:revision>
  <cp:lastPrinted>2011-08-25T16:47:00Z</cp:lastPrinted>
  <dcterms:created xsi:type="dcterms:W3CDTF">2012-07-26T16:59:00Z</dcterms:created>
  <dcterms:modified xsi:type="dcterms:W3CDTF">2012-07-26T16:59:00Z</dcterms:modified>
</cp:coreProperties>
</file>